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bookmarkStart w:id="0" w:name="_ql6srgshxu5z"/>
      <w:bookmarkEnd w:id="0"/>
      <w:r>
        <w:rPr>
          <w:b/>
          <w:color w:val="4A452A"/>
          <w:sz w:val="40"/>
          <w:szCs w:val="40"/>
          <w:u w:val="single"/>
        </w:rPr>
        <w:t>Anexo 8</w:t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  <w:t>Ciclo de Gerenciamento dos Voluntários</w:t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  <w:t xml:space="preserve"> </w:t>
      </w:r>
    </w:p>
    <w:p>
      <w:pPr>
        <w:pStyle w:val="Normal"/>
        <w:spacing w:lineRule="auto" w:line="360"/>
        <w:rPr>
          <w:color w:val="4A452A"/>
          <w:u w:val="single"/>
        </w:rPr>
      </w:pPr>
      <w:r>
        <w:rPr>
          <w:b/>
          <w:color w:val="4A452A"/>
          <w:u w:val="single"/>
        </w:rPr>
        <w:t>Fluxograma</w:t>
      </w:r>
    </w:p>
    <w:p>
      <w:pPr>
        <w:pStyle w:val="Normal"/>
        <w:spacing w:lineRule="auto" w:line="360"/>
        <w:rPr>
          <w:color w:val="4A452A"/>
        </w:rPr>
      </w:pPr>
      <w:r>
        <w:rPr>
          <w:color w:val="4A452A"/>
        </w:rPr>
        <w:t>O funcionamento do Programa de Voluntariado Voluntariar Guarujá envolve várias áreas, funções e processos e seu ciclo de gestão envolve as etapas e responsabilidades apresentadas no esquema a seguir (em desenvolvimento).</w:t>
      </w:r>
    </w:p>
    <w:p>
      <w:pPr>
        <w:pStyle w:val="Normal"/>
        <w:spacing w:lineRule="auto" w:line="360"/>
        <w:jc w:val="center"/>
        <w:rPr>
          <w:b/>
          <w:color w:val="4A452A"/>
          <w:u w:val="single"/>
        </w:rPr>
      </w:pPr>
      <w:r>
        <w:rPr>
          <w:b/>
          <w:color w:val="4A452A"/>
          <w:u w:val="single"/>
        </w:rPr>
        <w:t>Atividades principais:</w:t>
      </w:r>
    </w:p>
    <w:p>
      <w:pPr>
        <w:pStyle w:val="Normal"/>
        <w:spacing w:lineRule="auto" w:line="360"/>
        <w:rPr>
          <w:color w:val="4A452A"/>
        </w:rPr>
      </w:pPr>
      <w:r>
        <w:rPr>
          <w:color w:val="4A452A"/>
        </w:rPr>
        <w:t>As principais atividades desenvolvidas no âmbito do Programa de Voluntariado Voluntariar Guarujá são as seguintes: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Planejamento e mapeamento das vagas. 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Divulgação das oportunidades para recrutamento.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Seleção e cadastramento dos voluntários.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Acompanhamento do preenchimento Ficha CANDIDATO A VOLUNTÁRIO.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Seleção das Fichas CANDIDATO A VOLUNTÁRIO (aprovado/não aprovado).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Convites para agendamento de Entrevista e para a Sensibilização e Formação.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Preenchimento e organização da Ficha de Controle de Voluntários (formulário para uso interno) e contabilização das horas voluntárias.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Entrevistas.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Realização das entrevistas (virtual/presencial)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Apresentação da iniciativa Voluntariar Guarujá, do Código de Ética e Conduta e do Manual dos Direitos e Deveres do Voluntário Voluntariar Guarujá.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Avaliação da entrevista (aprovados/não aprovados)</w:t>
      </w:r>
      <w:r>
        <w:br w:type="page"/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 w:before="0" w:after="200"/>
        <w:rPr>
          <w:color w:val="4A452A"/>
        </w:rPr>
      </w:pPr>
      <w:r>
        <w:rPr>
          <w:rFonts w:eastAsia="Calibri" w:cs="Calibri"/>
          <w:color w:val="4A452A"/>
        </w:rPr>
        <w:t>Sensibilização e Formação</w:t>
      </w:r>
    </w:p>
    <w:p>
      <w:pPr>
        <w:pStyle w:val="Normal"/>
        <w:widowControl/>
        <w:numPr>
          <w:ilvl w:val="1"/>
          <w:numId w:val="2"/>
        </w:numPr>
        <w:suppressAutoHyphens w:val="false"/>
        <w:spacing w:lineRule="auto" w:line="360"/>
        <w:ind w:hanging="142" w:start="851"/>
        <w:rPr>
          <w:color w:val="4A452A"/>
        </w:rPr>
      </w:pPr>
      <w:r>
        <w:rPr>
          <w:rFonts w:eastAsia="Calibri" w:cs="Calibri"/>
          <w:color w:val="4A452A"/>
        </w:rPr>
        <w:t>Convite para a Sensibilização e Formação</w:t>
      </w:r>
      <w:r>
        <w:rPr>
          <w:color w:val="4A452A"/>
        </w:rPr>
        <w:t xml:space="preserve"> </w:t>
      </w:r>
      <w:r>
        <w:rPr>
          <w:rFonts w:eastAsia="Calibri" w:cs="Calibri"/>
          <w:color w:val="4A452A"/>
        </w:rPr>
        <w:t>presencial, com a apresentação de direitos e deveres, orientação para próximos passos, encaminhamento para área de atuação ou formação específica na área, assinatura do Termo de Adesão/ entrega de material (se for o caso).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 xml:space="preserve">Supervisão e monitoramento das atividades desenvolvidas. 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rPr>
          <w:color w:val="4A452A"/>
        </w:rPr>
      </w:pPr>
      <w:r>
        <w:rPr>
          <w:rFonts w:eastAsia="Calibri" w:cs="Calibri"/>
          <w:color w:val="4A452A"/>
        </w:rPr>
        <w:t>Avaliação das atividades desenvolvidas por meio da aplicação do Questionário de Avaliação da Atividade Voluntária.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360"/>
        <w:ind w:hanging="357" w:start="714"/>
        <w:rPr>
          <w:color w:val="4A452A"/>
        </w:rPr>
      </w:pPr>
      <w:r>
        <w:rPr>
          <w:rFonts w:eastAsia="Calibri" w:cs="Calibri"/>
          <w:color w:val="4A452A"/>
        </w:rPr>
        <w:t>Realização de ações de reconhecimento e valorização.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jc w:val="center"/>
        <w:rPr>
          <w:color w:val="4A452A"/>
        </w:rPr>
      </w:pPr>
      <w:r>
        <w:rPr/>
        <w:drawing>
          <wp:inline distT="0" distB="0" distL="0" distR="0">
            <wp:extent cx="6155690" cy="8072755"/>
            <wp:effectExtent l="0" t="0" r="0" b="0"/>
            <wp:docPr id="1" name="Imagem 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807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spacing w:before="0" w:after="200"/>
        <w:rPr>
          <w:b/>
          <w:u w:val="single"/>
        </w:rPr>
      </w:pPr>
      <w:r>
        <w:rPr>
          <w:b/>
          <w:u w:val="singl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8 GERENCIAMENTO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09:28:50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8 GERENCIAMENTO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09:28:50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bullet"/>
      <w:lvlText w:val="⋅"/>
      <w:lvlJc w:val="start"/>
      <w:pPr>
        <w:tabs>
          <w:tab w:val="num" w:pos="0"/>
        </w:tabs>
        <w:ind w:start="1440" w:hanging="360"/>
      </w:pPr>
      <w:rPr>
        <w:rFonts w:ascii="Noto Sans Symbols" w:hAnsi="Noto Sans Symbols" w:cs="Noto Sans Symbols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LibreOffice/24.8.6.2$Windows_X86_64 LibreOffice_project/6d98ba145e9a8a39fc57bcc76981d1fb1316c60c</Application>
  <AppVersion>15.0000</AppVersion>
  <Pages>3</Pages>
  <Words>252</Words>
  <Characters>1582</Characters>
  <CharactersWithSpaces>1797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2025-05-15T09:17:56Z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